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55"/>
        <w:ind w:left="2235" w:right="0" w:firstLine="0"/>
        <w:jc w:val="left"/>
        <w:rPr>
          <w:rFonts w:ascii="Palatino Linotype"/>
          <w:b/>
          <w:sz w:val="32"/>
        </w:rPr>
      </w:pPr>
      <w:r>
        <w:rPr>
          <w:rFonts w:ascii="Palatino Linotype"/>
          <w:b/>
          <w:color w:val="4F6028"/>
          <w:w w:val="110"/>
          <w:sz w:val="32"/>
        </w:rPr>
        <w:t>Appendix 4.A Legal Definition of Homelessness</w:t>
      </w:r>
    </w:p>
    <w:p>
      <w:pPr>
        <w:pStyle w:val="BodyText"/>
        <w:spacing w:before="2"/>
        <w:rPr>
          <w:rFonts w:ascii="Palatino Linotype"/>
          <w:b/>
          <w:sz w:val="35"/>
        </w:rPr>
      </w:pPr>
    </w:p>
    <w:p>
      <w:pPr>
        <w:pStyle w:val="BodyText"/>
        <w:spacing w:line="273" w:lineRule="auto"/>
        <w:ind w:left="1460" w:right="368"/>
      </w:pPr>
      <w:r>
        <w:rPr/>
        <w:t>Subtitle VII-B of the McKinney-Vento Homeless Assistance Act states the following:</w:t>
      </w:r>
    </w:p>
    <w:p>
      <w:pPr>
        <w:pStyle w:val="BodyText"/>
        <w:spacing w:before="9"/>
        <w:rPr>
          <w:sz w:val="27"/>
        </w:rPr>
      </w:pPr>
    </w:p>
    <w:p>
      <w:pPr>
        <w:pStyle w:val="BodyText"/>
        <w:ind w:left="2000"/>
      </w:pPr>
      <w:r>
        <w:rPr/>
        <w:t>The term “homeless children and youths”—</w:t>
      </w:r>
    </w:p>
    <w:p>
      <w:pPr>
        <w:pStyle w:val="ListParagraph"/>
        <w:numPr>
          <w:ilvl w:val="0"/>
          <w:numId w:val="1"/>
        </w:numPr>
        <w:tabs>
          <w:tab w:pos="3102" w:val="left" w:leader="none"/>
        </w:tabs>
        <w:spacing w:line="276" w:lineRule="auto" w:before="43" w:after="0"/>
        <w:ind w:left="2720" w:right="1042" w:firstLine="0"/>
        <w:jc w:val="left"/>
        <w:rPr>
          <w:sz w:val="24"/>
        </w:rPr>
      </w:pPr>
      <w:r>
        <w:rPr>
          <w:sz w:val="24"/>
        </w:rPr>
        <w:t>means individuals who lack a fixed, regular, and adequate nighttime</w:t>
      </w:r>
      <w:r>
        <w:rPr>
          <w:spacing w:val="-8"/>
          <w:sz w:val="24"/>
        </w:rPr>
        <w:t> </w:t>
      </w:r>
      <w:r>
        <w:rPr>
          <w:sz w:val="24"/>
        </w:rPr>
        <w:t>residence</w:t>
      </w:r>
      <w:r>
        <w:rPr>
          <w:spacing w:val="-13"/>
          <w:sz w:val="24"/>
        </w:rPr>
        <w:t> </w:t>
      </w:r>
      <w:r>
        <w:rPr>
          <w:sz w:val="24"/>
        </w:rPr>
        <w:t>(within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meaning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7"/>
          <w:sz w:val="24"/>
        </w:rPr>
        <w:t> </w:t>
      </w:r>
      <w:r>
        <w:rPr>
          <w:sz w:val="24"/>
        </w:rPr>
        <w:t>section</w:t>
      </w:r>
      <w:r>
        <w:rPr>
          <w:spacing w:val="-9"/>
          <w:sz w:val="24"/>
        </w:rPr>
        <w:t> </w:t>
      </w:r>
      <w:r>
        <w:rPr>
          <w:sz w:val="24"/>
        </w:rPr>
        <w:t>103</w:t>
      </w:r>
      <w:r>
        <w:rPr>
          <w:spacing w:val="-11"/>
          <w:sz w:val="24"/>
        </w:rPr>
        <w:t> </w:t>
      </w:r>
      <w:r>
        <w:rPr>
          <w:sz w:val="24"/>
        </w:rPr>
        <w:t>(a)(1)); and</w:t>
      </w:r>
    </w:p>
    <w:p>
      <w:pPr>
        <w:pStyle w:val="ListParagraph"/>
        <w:numPr>
          <w:ilvl w:val="0"/>
          <w:numId w:val="1"/>
        </w:numPr>
        <w:tabs>
          <w:tab w:pos="3100" w:val="left" w:leader="none"/>
        </w:tabs>
        <w:spacing w:line="275" w:lineRule="exact" w:before="0" w:after="0"/>
        <w:ind w:left="3099" w:right="0" w:hanging="380"/>
        <w:jc w:val="left"/>
        <w:rPr>
          <w:sz w:val="24"/>
        </w:rPr>
      </w:pPr>
      <w:r>
        <w:rPr>
          <w:sz w:val="24"/>
        </w:rPr>
        <w:t>includes—</w:t>
      </w:r>
    </w:p>
    <w:p>
      <w:pPr>
        <w:pStyle w:val="ListParagraph"/>
        <w:numPr>
          <w:ilvl w:val="1"/>
          <w:numId w:val="1"/>
        </w:numPr>
        <w:tabs>
          <w:tab w:pos="3739" w:val="left" w:leader="none"/>
        </w:tabs>
        <w:spacing w:line="276" w:lineRule="auto" w:before="46" w:after="0"/>
        <w:ind w:left="2720" w:right="315" w:firstLine="720"/>
        <w:jc w:val="left"/>
        <w:rPr>
          <w:sz w:val="24"/>
        </w:rPr>
      </w:pPr>
      <w:r>
        <w:rPr>
          <w:sz w:val="24"/>
        </w:rPr>
        <w:t>children and youths who are sharing the housing of other persons</w:t>
      </w:r>
      <w:r>
        <w:rPr>
          <w:spacing w:val="-10"/>
          <w:sz w:val="24"/>
        </w:rPr>
        <w:t> </w:t>
      </w:r>
      <w:r>
        <w:rPr>
          <w:sz w:val="24"/>
        </w:rPr>
        <w:t>due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loss</w:t>
      </w:r>
      <w:r>
        <w:rPr>
          <w:spacing w:val="-7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housing,</w:t>
      </w:r>
      <w:r>
        <w:rPr>
          <w:spacing w:val="-10"/>
          <w:sz w:val="24"/>
        </w:rPr>
        <w:t> </w:t>
      </w:r>
      <w:r>
        <w:rPr>
          <w:sz w:val="24"/>
        </w:rPr>
        <w:t>economic</w:t>
      </w:r>
      <w:r>
        <w:rPr>
          <w:spacing w:val="-12"/>
          <w:sz w:val="24"/>
        </w:rPr>
        <w:t> </w:t>
      </w:r>
      <w:r>
        <w:rPr>
          <w:sz w:val="24"/>
        </w:rPr>
        <w:t>hardship,</w:t>
      </w:r>
      <w:r>
        <w:rPr>
          <w:spacing w:val="-11"/>
          <w:sz w:val="24"/>
        </w:rPr>
        <w:t> </w:t>
      </w:r>
      <w:r>
        <w:rPr>
          <w:sz w:val="24"/>
        </w:rPr>
        <w:t>or</w:t>
      </w:r>
      <w:r>
        <w:rPr>
          <w:spacing w:val="-7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similar</w:t>
      </w:r>
      <w:r>
        <w:rPr>
          <w:spacing w:val="-3"/>
          <w:sz w:val="24"/>
        </w:rPr>
        <w:t> </w:t>
      </w:r>
      <w:r>
        <w:rPr>
          <w:sz w:val="24"/>
        </w:rPr>
        <w:t>reason; are living in motels, hotels, trailer parks, or camping grounds due to the lack of alternative adequate accommodations; are living in emergency</w:t>
      </w:r>
      <w:r>
        <w:rPr>
          <w:spacing w:val="-14"/>
          <w:sz w:val="24"/>
        </w:rPr>
        <w:t> </w:t>
      </w:r>
      <w:r>
        <w:rPr>
          <w:sz w:val="24"/>
        </w:rPr>
        <w:t>or</w:t>
      </w:r>
      <w:r>
        <w:rPr>
          <w:spacing w:val="-5"/>
          <w:sz w:val="24"/>
        </w:rPr>
        <w:t> </w:t>
      </w:r>
      <w:r>
        <w:rPr>
          <w:sz w:val="24"/>
        </w:rPr>
        <w:t>transitional</w:t>
      </w:r>
      <w:r>
        <w:rPr>
          <w:spacing w:val="-7"/>
          <w:sz w:val="24"/>
        </w:rPr>
        <w:t> </w:t>
      </w:r>
      <w:r>
        <w:rPr>
          <w:sz w:val="24"/>
        </w:rPr>
        <w:t>shelters;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or</w:t>
      </w:r>
      <w:r>
        <w:rPr>
          <w:spacing w:val="-16"/>
          <w:sz w:val="24"/>
        </w:rPr>
        <w:t> </w:t>
      </w:r>
      <w:r>
        <w:rPr>
          <w:sz w:val="24"/>
        </w:rPr>
        <w:t>are</w:t>
      </w:r>
      <w:r>
        <w:rPr>
          <w:spacing w:val="-4"/>
          <w:sz w:val="24"/>
        </w:rPr>
        <w:t> </w:t>
      </w:r>
      <w:r>
        <w:rPr>
          <w:sz w:val="24"/>
        </w:rPr>
        <w:t>abandoned</w:t>
      </w:r>
      <w:r>
        <w:rPr>
          <w:spacing w:val="-10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hospitals</w:t>
      </w:r>
      <w:r>
        <w:rPr>
          <w:position w:val="6"/>
          <w:sz w:val="16"/>
        </w:rPr>
        <w:t>1</w:t>
      </w:r>
      <w:r>
        <w:rPr>
          <w:sz w:val="24"/>
        </w:rPr>
        <w:t>;</w:t>
      </w:r>
    </w:p>
    <w:p>
      <w:pPr>
        <w:pStyle w:val="ListParagraph"/>
        <w:numPr>
          <w:ilvl w:val="1"/>
          <w:numId w:val="1"/>
        </w:numPr>
        <w:tabs>
          <w:tab w:pos="3806" w:val="left" w:leader="none"/>
        </w:tabs>
        <w:spacing w:line="276" w:lineRule="auto" w:before="1" w:after="0"/>
        <w:ind w:left="2720" w:right="1002" w:firstLine="720"/>
        <w:jc w:val="left"/>
        <w:rPr>
          <w:sz w:val="24"/>
        </w:rPr>
      </w:pPr>
      <w:r>
        <w:rPr>
          <w:sz w:val="24"/>
        </w:rPr>
        <w:t>children and youths who have a primary nighttime residence that is a public or private place not designed for or ordinarily</w:t>
      </w:r>
      <w:r>
        <w:rPr>
          <w:spacing w:val="-10"/>
          <w:sz w:val="24"/>
        </w:rPr>
        <w:t> </w:t>
      </w:r>
      <w:r>
        <w:rPr>
          <w:sz w:val="24"/>
        </w:rPr>
        <w:t>used</w:t>
      </w:r>
      <w:r>
        <w:rPr>
          <w:spacing w:val="-8"/>
          <w:sz w:val="24"/>
        </w:rPr>
        <w:t> </w:t>
      </w:r>
      <w:r>
        <w:rPr>
          <w:sz w:val="24"/>
        </w:rPr>
        <w:t>as</w:t>
      </w:r>
      <w:r>
        <w:rPr>
          <w:spacing w:val="-6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regular</w:t>
      </w:r>
      <w:r>
        <w:rPr>
          <w:spacing w:val="-7"/>
          <w:sz w:val="24"/>
        </w:rPr>
        <w:t> </w:t>
      </w:r>
      <w:r>
        <w:rPr>
          <w:sz w:val="24"/>
        </w:rPr>
        <w:t>sleeping</w:t>
      </w:r>
      <w:r>
        <w:rPr>
          <w:spacing w:val="-11"/>
          <w:sz w:val="24"/>
        </w:rPr>
        <w:t> </w:t>
      </w:r>
      <w:r>
        <w:rPr>
          <w:sz w:val="24"/>
        </w:rPr>
        <w:t>accommodation</w:t>
      </w:r>
      <w:r>
        <w:rPr>
          <w:spacing w:val="-16"/>
          <w:sz w:val="24"/>
        </w:rPr>
        <w:t> </w:t>
      </w:r>
      <w:r>
        <w:rPr>
          <w:sz w:val="24"/>
        </w:rPr>
        <w:t>for</w:t>
      </w:r>
      <w:r>
        <w:rPr>
          <w:spacing w:val="-6"/>
          <w:sz w:val="24"/>
        </w:rPr>
        <w:t> </w:t>
      </w:r>
      <w:r>
        <w:rPr>
          <w:sz w:val="24"/>
        </w:rPr>
        <w:t>human beings (within the meaning of section 103</w:t>
      </w:r>
      <w:r>
        <w:rPr>
          <w:spacing w:val="-40"/>
          <w:sz w:val="24"/>
        </w:rPr>
        <w:t> </w:t>
      </w:r>
      <w:r>
        <w:rPr>
          <w:sz w:val="24"/>
        </w:rPr>
        <w:t>(a)(2)(C));</w:t>
      </w:r>
    </w:p>
    <w:p>
      <w:pPr>
        <w:pStyle w:val="ListParagraph"/>
        <w:numPr>
          <w:ilvl w:val="1"/>
          <w:numId w:val="1"/>
        </w:numPr>
        <w:tabs>
          <w:tab w:pos="3875" w:val="left" w:leader="none"/>
        </w:tabs>
        <w:spacing w:line="276" w:lineRule="auto" w:before="0" w:after="0"/>
        <w:ind w:left="2720" w:right="672" w:firstLine="720"/>
        <w:jc w:val="left"/>
        <w:rPr>
          <w:sz w:val="24"/>
        </w:rPr>
      </w:pPr>
      <w:r>
        <w:rPr>
          <w:sz w:val="24"/>
        </w:rPr>
        <w:t>children</w:t>
      </w:r>
      <w:r>
        <w:rPr>
          <w:spacing w:val="-8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youths</w:t>
      </w:r>
      <w:r>
        <w:rPr>
          <w:spacing w:val="-6"/>
          <w:sz w:val="24"/>
        </w:rPr>
        <w:t> </w:t>
      </w:r>
      <w:r>
        <w:rPr>
          <w:sz w:val="24"/>
        </w:rPr>
        <w:t>who</w:t>
      </w:r>
      <w:r>
        <w:rPr>
          <w:spacing w:val="-6"/>
          <w:sz w:val="24"/>
        </w:rPr>
        <w:t> </w:t>
      </w:r>
      <w:r>
        <w:rPr>
          <w:sz w:val="24"/>
        </w:rPr>
        <w:t>are</w:t>
      </w:r>
      <w:r>
        <w:rPr>
          <w:spacing w:val="-7"/>
          <w:sz w:val="24"/>
        </w:rPr>
        <w:t> </w:t>
      </w:r>
      <w:r>
        <w:rPr>
          <w:sz w:val="24"/>
        </w:rPr>
        <w:t>living</w:t>
      </w:r>
      <w:r>
        <w:rPr>
          <w:spacing w:val="-7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cars,</w:t>
      </w:r>
      <w:r>
        <w:rPr>
          <w:spacing w:val="-6"/>
          <w:sz w:val="24"/>
        </w:rPr>
        <w:t> </w:t>
      </w:r>
      <w:r>
        <w:rPr>
          <w:sz w:val="24"/>
        </w:rPr>
        <w:t>parks,</w:t>
      </w:r>
      <w:r>
        <w:rPr>
          <w:spacing w:val="-5"/>
          <w:sz w:val="24"/>
        </w:rPr>
        <w:t> </w:t>
      </w:r>
      <w:r>
        <w:rPr>
          <w:sz w:val="24"/>
        </w:rPr>
        <w:t>public spaces, abandoned buildings, substandard housing, bus or train stations, or similar settings;</w:t>
      </w:r>
      <w:r>
        <w:rPr>
          <w:spacing w:val="-22"/>
          <w:sz w:val="24"/>
        </w:rPr>
        <w:t> </w:t>
      </w:r>
      <w:r>
        <w:rPr>
          <w:sz w:val="24"/>
        </w:rPr>
        <w:t>and</w:t>
      </w:r>
    </w:p>
    <w:p>
      <w:pPr>
        <w:pStyle w:val="ListParagraph"/>
        <w:numPr>
          <w:ilvl w:val="1"/>
          <w:numId w:val="1"/>
        </w:numPr>
        <w:tabs>
          <w:tab w:pos="3859" w:val="left" w:leader="none"/>
        </w:tabs>
        <w:spacing w:line="276" w:lineRule="auto" w:before="0" w:after="0"/>
        <w:ind w:left="2720" w:right="254" w:firstLine="720"/>
        <w:jc w:val="left"/>
        <w:rPr>
          <w:sz w:val="24"/>
        </w:rPr>
      </w:pPr>
      <w:r>
        <w:rPr>
          <w:sz w:val="24"/>
        </w:rPr>
        <w:t>migratory children (as such term is defined in section 1309 of</w:t>
      </w:r>
      <w:r>
        <w:rPr>
          <w:spacing w:val="-7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Elementary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Secondary</w:t>
      </w:r>
      <w:r>
        <w:rPr>
          <w:spacing w:val="-3"/>
          <w:sz w:val="24"/>
        </w:rPr>
        <w:t> </w:t>
      </w:r>
      <w:r>
        <w:rPr>
          <w:sz w:val="24"/>
        </w:rPr>
        <w:t>Act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1965)</w:t>
      </w:r>
      <w:r>
        <w:rPr>
          <w:spacing w:val="-5"/>
          <w:sz w:val="24"/>
        </w:rPr>
        <w:t> </w:t>
      </w:r>
      <w:r>
        <w:rPr>
          <w:sz w:val="24"/>
        </w:rPr>
        <w:t>who</w:t>
      </w:r>
      <w:r>
        <w:rPr>
          <w:spacing w:val="-5"/>
          <w:sz w:val="24"/>
        </w:rPr>
        <w:t> </w:t>
      </w:r>
      <w:r>
        <w:rPr>
          <w:sz w:val="24"/>
        </w:rPr>
        <w:t>qualify</w:t>
      </w:r>
      <w:r>
        <w:rPr>
          <w:spacing w:val="-5"/>
          <w:sz w:val="24"/>
        </w:rPr>
        <w:t> </w:t>
      </w:r>
      <w:r>
        <w:rPr>
          <w:sz w:val="24"/>
        </w:rPr>
        <w:t>as</w:t>
      </w:r>
      <w:r>
        <w:rPr>
          <w:spacing w:val="-5"/>
          <w:sz w:val="24"/>
        </w:rPr>
        <w:t> </w:t>
      </w:r>
      <w:r>
        <w:rPr>
          <w:sz w:val="24"/>
        </w:rPr>
        <w:t>homeless for the purposes of this subtitle because the children are living in circumstances described in</w:t>
      </w:r>
      <w:r>
        <w:rPr>
          <w:spacing w:val="-18"/>
          <w:sz w:val="24"/>
        </w:rPr>
        <w:t> </w:t>
      </w:r>
      <w:r>
        <w:rPr>
          <w:sz w:val="24"/>
        </w:rPr>
        <w:t>clauses</w:t>
      </w:r>
    </w:p>
    <w:p>
      <w:pPr>
        <w:pStyle w:val="BodyText"/>
        <w:spacing w:line="278" w:lineRule="exact"/>
        <w:ind w:left="2720"/>
      </w:pPr>
      <w:r>
        <w:rPr/>
        <w:t>(i) through (iii). </w:t>
      </w:r>
      <w:r>
        <w:rPr>
          <w:position w:val="1"/>
        </w:rPr>
        <w:t>(42 U.S.C. § 11434a(2)).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2"/>
        </w:rPr>
      </w:pPr>
      <w:r>
        <w:rPr/>
        <w:pict>
          <v:shape style="position:absolute;margin-left:72pt;margin-top:15.549584pt;width:144.050pt;height:.1pt;mso-position-horizontal-relative:page;mso-position-vertical-relative:paragraph;z-index:-251658240;mso-wrap-distance-left:0;mso-wrap-distance-right:0" coordorigin="1440,311" coordsize="2881,0" path="m1440,311l4320,311e" filled="false" stroked="true" strokeweight=".72003pt" strokecolor="#000000">
            <v:path arrowok="t"/>
            <v:stroke dashstyle="solid"/>
            <w10:wrap type="topAndBottom"/>
          </v:shape>
        </w:pict>
      </w:r>
    </w:p>
    <w:p>
      <w:pPr>
        <w:spacing w:before="65"/>
        <w:ind w:left="820" w:right="0" w:firstLine="0"/>
        <w:jc w:val="left"/>
        <w:rPr>
          <w:rFonts w:ascii="Calibri" w:hAnsi="Calibri"/>
          <w:sz w:val="20"/>
        </w:rPr>
      </w:pPr>
      <w:r>
        <w:rPr>
          <w:rFonts w:ascii="Calibri" w:hAnsi="Calibri"/>
          <w:position w:val="7"/>
          <w:sz w:val="13"/>
        </w:rPr>
        <w:t>1 </w:t>
      </w:r>
      <w:r>
        <w:rPr>
          <w:rFonts w:ascii="Calibri" w:hAnsi="Calibri"/>
          <w:sz w:val="20"/>
        </w:rPr>
        <w:t>Awaiting foster care placement provisions expired in December of 2016 or 2017, depending on a state’s status as</w:t>
      </w:r>
    </w:p>
    <w:p>
      <w:pPr>
        <w:spacing w:before="1"/>
        <w:ind w:left="820" w:right="0" w:firstLine="0"/>
        <w:jc w:val="left"/>
        <w:rPr>
          <w:rFonts w:ascii="Calibri"/>
          <w:sz w:val="20"/>
        </w:rPr>
      </w:pPr>
      <w:r>
        <w:rPr>
          <w:rFonts w:ascii="Calibri"/>
          <w:sz w:val="20"/>
        </w:rPr>
        <w:t>covered.</w:t>
      </w: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spacing w:before="6"/>
        <w:rPr>
          <w:rFonts w:ascii="Calibri"/>
          <w:sz w:val="26"/>
        </w:rPr>
      </w:pPr>
    </w:p>
    <w:p>
      <w:pPr>
        <w:spacing w:line="237" w:lineRule="auto" w:before="88"/>
        <w:ind w:left="910" w:right="286" w:hanging="810"/>
        <w:jc w:val="left"/>
        <w:rPr>
          <w:rFonts w:ascii="Georgia"/>
          <w:i/>
          <w:sz w:val="22"/>
        </w:rPr>
      </w:pPr>
      <w:r>
        <w:rPr>
          <w:rFonts w:ascii="Palatino Linotype"/>
          <w:b/>
          <w:sz w:val="22"/>
        </w:rPr>
        <w:t>4.A-</w:t>
      </w:r>
      <w:r>
        <w:rPr>
          <w:rFonts w:ascii="Arial"/>
          <w:sz w:val="22"/>
        </w:rPr>
        <w:t>1 </w:t>
      </w:r>
      <w:r>
        <w:rPr>
          <w:rFonts w:ascii="Palatino Linotype"/>
          <w:b/>
          <w:sz w:val="22"/>
        </w:rPr>
        <w:t>| </w:t>
      </w:r>
      <w:r>
        <w:rPr>
          <w:rFonts w:ascii="Georgia"/>
          <w:i/>
          <w:sz w:val="22"/>
        </w:rPr>
        <w:t>NCHE   L o c a l   L i a i s o n    T o o l k i t :    A p p e n d i x    4 </w:t>
      </w:r>
      <w:r>
        <w:rPr>
          <w:rFonts w:ascii="Georgia"/>
          <w:i/>
          <w:spacing w:val="7"/>
          <w:sz w:val="22"/>
        </w:rPr>
        <w:t>. </w:t>
      </w:r>
      <w:r>
        <w:rPr>
          <w:rFonts w:ascii="Georgia"/>
          <w:i/>
          <w:sz w:val="22"/>
        </w:rPr>
        <w:t>A    L e g a l    D e f i n i t i o n    </w:t>
      </w:r>
      <w:r>
        <w:rPr>
          <w:rFonts w:ascii="Georgia"/>
          <w:i/>
          <w:sz w:val="22"/>
        </w:rPr>
        <w:t>o f H o m e l e s s n e s</w:t>
      </w:r>
      <w:r>
        <w:rPr>
          <w:rFonts w:ascii="Georgia"/>
          <w:i/>
          <w:spacing w:val="44"/>
          <w:sz w:val="22"/>
        </w:rPr>
        <w:t> </w:t>
      </w:r>
      <w:r>
        <w:rPr>
          <w:rFonts w:ascii="Georgia"/>
          <w:i/>
          <w:sz w:val="22"/>
        </w:rPr>
        <w:t>s</w:t>
      </w:r>
    </w:p>
    <w:sectPr>
      <w:type w:val="continuous"/>
      <w:pgSz w:w="12240" w:h="15840"/>
      <w:pgMar w:top="960" w:bottom="280" w:left="620" w:right="1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Georgia">
    <w:altName w:val="Georgia"/>
    <w:charset w:val="0"/>
    <w:family w:val="roman"/>
    <w:pitch w:val="variable"/>
  </w:font>
  <w:font w:name="Palatino Linotype">
    <w:altName w:val="Palatino Linotype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Letter"/>
      <w:lvlText w:val="(%1)"/>
      <w:lvlJc w:val="left"/>
      <w:pPr>
        <w:ind w:left="2720" w:hanging="382"/>
        <w:jc w:val="left"/>
      </w:pPr>
      <w:rPr>
        <w:rFonts w:hint="default" w:ascii="Cambria" w:hAnsi="Cambria" w:eastAsia="Cambria" w:cs="Cambria"/>
        <w:spacing w:val="-1"/>
        <w:w w:val="100"/>
        <w:sz w:val="24"/>
        <w:szCs w:val="24"/>
      </w:rPr>
    </w:lvl>
    <w:lvl w:ilvl="1">
      <w:start w:val="1"/>
      <w:numFmt w:val="lowerRoman"/>
      <w:lvlText w:val="(%2)"/>
      <w:lvlJc w:val="left"/>
      <w:pPr>
        <w:ind w:left="2720" w:hanging="299"/>
        <w:jc w:val="left"/>
      </w:pPr>
      <w:rPr>
        <w:rFonts w:hint="default" w:ascii="Cambria" w:hAnsi="Cambria" w:eastAsia="Cambria" w:cs="Cambria"/>
        <w:w w:val="100"/>
        <w:sz w:val="24"/>
        <w:szCs w:val="24"/>
      </w:rPr>
    </w:lvl>
    <w:lvl w:ilvl="2">
      <w:start w:val="0"/>
      <w:numFmt w:val="bullet"/>
      <w:lvlText w:val="•"/>
      <w:lvlJc w:val="left"/>
      <w:pPr>
        <w:ind w:left="4220" w:hanging="29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970" w:hanging="29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720" w:hanging="29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470" w:hanging="29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7220" w:hanging="29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970" w:hanging="29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20" w:hanging="29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</w:rPr>
  </w:style>
  <w:style w:styleId="BodyText" w:type="paragraph">
    <w:name w:val="Body Text"/>
    <w:basedOn w:val="Normal"/>
    <w:uiPriority w:val="1"/>
    <w:qFormat/>
    <w:pPr/>
    <w:rPr>
      <w:rFonts w:ascii="Cambria" w:hAnsi="Cambria" w:eastAsia="Cambria" w:cs="Cambria"/>
      <w:sz w:val="24"/>
      <w:szCs w:val="24"/>
    </w:rPr>
  </w:style>
  <w:style w:styleId="ListParagraph" w:type="paragraph">
    <w:name w:val="List Paragraph"/>
    <w:basedOn w:val="Normal"/>
    <w:uiPriority w:val="1"/>
    <w:qFormat/>
    <w:pPr>
      <w:ind w:left="2720" w:firstLine="720"/>
    </w:pPr>
    <w:rPr>
      <w:rFonts w:ascii="Cambria" w:hAnsi="Cambria" w:eastAsia="Cambria" w:cs="Cambria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Danner-Groves</dc:creator>
  <dcterms:created xsi:type="dcterms:W3CDTF">2020-09-29T19:15:50Z</dcterms:created>
  <dcterms:modified xsi:type="dcterms:W3CDTF">2020-09-29T19:15:50Z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2020-09-29T00:00:00Z</vt:filetime>
  </property>
</Properties>
</file>