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FB08A2" w14:textId="4A65DF70" w:rsidR="00265EB7" w:rsidRPr="00C91076" w:rsidRDefault="004C3380" w:rsidP="00D8410B">
      <w:pPr>
        <w:pBdr>
          <w:bottom w:val="single" w:sz="4" w:space="1" w:color="2F5496" w:themeColor="accent1" w:themeShade="BF"/>
        </w:pBdr>
        <w:jc w:val="center"/>
        <w:rPr>
          <w:rFonts w:ascii="Georgia" w:hAnsi="Georgia"/>
          <w:b/>
          <w:color w:val="2F5496" w:themeColor="accent1" w:themeShade="BF"/>
        </w:rPr>
      </w:pPr>
      <w:r w:rsidRPr="00C91076">
        <w:rPr>
          <w:noProof/>
        </w:rPr>
        <w:drawing>
          <wp:anchor distT="0" distB="0" distL="0" distR="0" simplePos="0" relativeHeight="251659264" behindDoc="0" locked="0" layoutInCell="1" allowOverlap="1" wp14:anchorId="23610032" wp14:editId="0B71F310">
            <wp:simplePos x="0" y="0"/>
            <wp:positionH relativeFrom="margin">
              <wp:posOffset>6627495</wp:posOffset>
            </wp:positionH>
            <wp:positionV relativeFrom="margin">
              <wp:posOffset>-426720</wp:posOffset>
            </wp:positionV>
            <wp:extent cx="457200" cy="523778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5237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65EB7" w:rsidRPr="00C91076">
        <w:rPr>
          <w:rFonts w:ascii="Georgia" w:hAnsi="Georgia"/>
          <w:b/>
          <w:color w:val="2F5496" w:themeColor="accent1" w:themeShade="BF"/>
        </w:rPr>
        <w:t>Housing and School Partnership on the Point-In-Time Count</w:t>
      </w:r>
    </w:p>
    <w:p w14:paraId="2F871894" w14:textId="77777777" w:rsidR="00265EB7" w:rsidRPr="00025EF4" w:rsidRDefault="00D8410B" w:rsidP="00265EB7">
      <w:pPr>
        <w:rPr>
          <w:rFonts w:ascii="Georgia" w:eastAsia="Georgia" w:hAnsi="Georgia" w:cs="Georgia"/>
          <w:b/>
          <w:bCs/>
          <w:color w:val="9A9D36"/>
          <w:sz w:val="20"/>
          <w:szCs w:val="20"/>
        </w:rPr>
      </w:pPr>
      <w:r w:rsidRPr="00025EF4">
        <w:rPr>
          <w:rFonts w:ascii="Georgia" w:eastAsia="Georgia" w:hAnsi="Georgia" w:cs="Georgia"/>
          <w:b/>
          <w:bCs/>
          <w:color w:val="9A9D36"/>
          <w:sz w:val="20"/>
          <w:szCs w:val="20"/>
        </w:rPr>
        <w:br/>
      </w:r>
      <w:r w:rsidR="00265EB7" w:rsidRPr="00025EF4">
        <w:rPr>
          <w:rFonts w:ascii="Georgia" w:eastAsia="Georgia" w:hAnsi="Georgia" w:cs="Georgia"/>
          <w:b/>
          <w:bCs/>
          <w:color w:val="9A9D36"/>
          <w:sz w:val="20"/>
          <w:szCs w:val="20"/>
        </w:rPr>
        <w:t>About the Point-In-Time Count</w:t>
      </w:r>
    </w:p>
    <w:p w14:paraId="6CC6A4A1" w14:textId="035FB988" w:rsidR="00A701AD" w:rsidRDefault="00265EB7" w:rsidP="00265EB7">
      <w:r>
        <w:t xml:space="preserve">The Point-in-Time (PIT) count is an annual count of people experiencing homelessness on a single night in the last 10 days in January. The U.S. Department of Housing and Urban Development (HUD) requires its </w:t>
      </w:r>
      <w:hyperlink r:id="rId9" w:history="1">
        <w:r w:rsidRPr="00C91076">
          <w:rPr>
            <w:rStyle w:val="Hyperlink"/>
          </w:rPr>
          <w:t>Continuum of Care (</w:t>
        </w:r>
        <w:proofErr w:type="spellStart"/>
        <w:r w:rsidRPr="00C91076">
          <w:rPr>
            <w:rStyle w:val="Hyperlink"/>
          </w:rPr>
          <w:t>CoC</w:t>
        </w:r>
        <w:proofErr w:type="spellEnd"/>
        <w:r w:rsidRPr="00C91076">
          <w:rPr>
            <w:rStyle w:val="Hyperlink"/>
          </w:rPr>
          <w:t>) grantees</w:t>
        </w:r>
      </w:hyperlink>
      <w:r w:rsidR="00A701AD">
        <w:t xml:space="preserve"> </w:t>
      </w:r>
      <w:r>
        <w:t xml:space="preserve">to conduct an annual count of sheltered homeless persons. </w:t>
      </w:r>
      <w:proofErr w:type="spellStart"/>
      <w:r>
        <w:t>CoCs</w:t>
      </w:r>
      <w:proofErr w:type="spellEnd"/>
      <w:r>
        <w:t xml:space="preserve"> also must conduct a count of unsheltered homeless persons every other year (odd numbered years).</w:t>
      </w:r>
      <w:r w:rsidR="00A701AD">
        <w:rPr>
          <w:rStyle w:val="EndnoteReference"/>
        </w:rPr>
        <w:endnoteReference w:id="1"/>
      </w:r>
      <w:r w:rsidR="00A701AD">
        <w:t xml:space="preserve"> Each count is planned, coordinated, and carried out locally by service pr</w:t>
      </w:r>
      <w:r w:rsidR="00B4077E">
        <w:t>oviders and trained volunteers.</w:t>
      </w:r>
    </w:p>
    <w:p w14:paraId="1BA69D8A" w14:textId="77777777" w:rsidR="00A701AD" w:rsidRPr="00265EB7" w:rsidRDefault="00A701AD" w:rsidP="00025EF4">
      <w:pPr>
        <w:rPr>
          <w:rFonts w:ascii="Georgia" w:eastAsia="Georgia" w:hAnsi="Georgia" w:cs="Georgia"/>
          <w:b/>
          <w:bCs/>
          <w:color w:val="9A9D36"/>
          <w:sz w:val="21"/>
          <w:szCs w:val="21"/>
        </w:rPr>
      </w:pPr>
      <w:r w:rsidRPr="00265EB7">
        <w:rPr>
          <w:rFonts w:ascii="Georgia" w:eastAsia="Georgia" w:hAnsi="Georgia" w:cs="Georgia"/>
          <w:b/>
          <w:bCs/>
          <w:color w:val="9A9D36"/>
          <w:sz w:val="21"/>
          <w:szCs w:val="21"/>
        </w:rPr>
        <w:t xml:space="preserve">The Importance of </w:t>
      </w:r>
      <w:r w:rsidRPr="00025EF4">
        <w:rPr>
          <w:rFonts w:ascii="Georgia" w:eastAsia="Georgia" w:hAnsi="Georgia" w:cs="Georgia"/>
          <w:b/>
          <w:bCs/>
          <w:color w:val="9A9D36"/>
          <w:sz w:val="20"/>
          <w:szCs w:val="20"/>
        </w:rPr>
        <w:t>Data</w:t>
      </w:r>
    </w:p>
    <w:p w14:paraId="61F68415" w14:textId="77777777" w:rsidR="00A701AD" w:rsidRDefault="00A701AD" w:rsidP="00025EF4">
      <w:pPr>
        <w:spacing w:after="0"/>
      </w:pPr>
      <w:r>
        <w:t xml:space="preserve">In its </w:t>
      </w:r>
      <w:hyperlink r:id="rId10" w:history="1">
        <w:r w:rsidRPr="0081612B">
          <w:rPr>
            <w:rStyle w:val="Hyperlink"/>
            <w:i/>
          </w:rPr>
          <w:t>Home Together: Federal Strategic Plan to Prevent and End Homelessness</w:t>
        </w:r>
      </w:hyperlink>
      <w:r>
        <w:t xml:space="preserve">, the U.S. Interagency Council on Homelessness (USICH) underscores the importance of collecting, reporting, and analyzing high-quality, timely data on homelessness, and leveraging a variety of data sets to plan, target, and scale needed housing and service interventions. </w:t>
      </w:r>
      <w:r w:rsidR="00E37A1D">
        <w:t>Important</w:t>
      </w:r>
      <w:r>
        <w:t xml:space="preserve"> sources of data on homelessness in the United States include</w:t>
      </w:r>
    </w:p>
    <w:p w14:paraId="4936085F" w14:textId="77777777" w:rsidR="00A701AD" w:rsidRDefault="00955593" w:rsidP="00D8410B">
      <w:pPr>
        <w:pStyle w:val="ListParagraph"/>
        <w:numPr>
          <w:ilvl w:val="0"/>
          <w:numId w:val="3"/>
        </w:numPr>
        <w:spacing w:after="0"/>
        <w:ind w:left="360" w:hanging="360"/>
      </w:pPr>
      <w:hyperlink r:id="rId11" w:history="1">
        <w:r w:rsidR="00A701AD" w:rsidRPr="0081612B">
          <w:rPr>
            <w:rStyle w:val="Hyperlink"/>
          </w:rPr>
          <w:t>Education for Homeless Children and Youth (EHCY) program data</w:t>
        </w:r>
      </w:hyperlink>
      <w:r w:rsidR="00A701AD">
        <w:t>;</w:t>
      </w:r>
    </w:p>
    <w:p w14:paraId="38EC102F" w14:textId="77777777" w:rsidR="00A701AD" w:rsidRDefault="00A701AD" w:rsidP="00D8410B">
      <w:pPr>
        <w:pStyle w:val="ListParagraph"/>
        <w:numPr>
          <w:ilvl w:val="0"/>
          <w:numId w:val="3"/>
        </w:numPr>
        <w:spacing w:after="0"/>
        <w:ind w:left="360" w:hanging="360"/>
      </w:pPr>
      <w:r>
        <w:t xml:space="preserve">HUD </w:t>
      </w:r>
      <w:hyperlink r:id="rId12" w:history="1">
        <w:r w:rsidRPr="0081612B">
          <w:rPr>
            <w:rStyle w:val="Hyperlink"/>
          </w:rPr>
          <w:t>Point-In-Time count</w:t>
        </w:r>
      </w:hyperlink>
      <w:r>
        <w:t xml:space="preserve"> (AHAR Part 1), </w:t>
      </w:r>
      <w:hyperlink r:id="rId13" w:history="1">
        <w:r w:rsidRPr="0081612B">
          <w:rPr>
            <w:rStyle w:val="Hyperlink"/>
          </w:rPr>
          <w:t>Homeless Management Information System</w:t>
        </w:r>
      </w:hyperlink>
      <w:r>
        <w:t xml:space="preserve"> (HMIS; AHAR Part 2), and </w:t>
      </w:r>
      <w:hyperlink r:id="rId14" w:history="1">
        <w:r w:rsidRPr="0081612B">
          <w:rPr>
            <w:rStyle w:val="Hyperlink"/>
          </w:rPr>
          <w:t>Worst Case Housing Needs data</w:t>
        </w:r>
      </w:hyperlink>
      <w:r>
        <w:t>;</w:t>
      </w:r>
    </w:p>
    <w:p w14:paraId="5335B596" w14:textId="77777777" w:rsidR="00A701AD" w:rsidRDefault="00955593" w:rsidP="00D8410B">
      <w:pPr>
        <w:pStyle w:val="ListParagraph"/>
        <w:numPr>
          <w:ilvl w:val="0"/>
          <w:numId w:val="3"/>
        </w:numPr>
        <w:spacing w:after="0"/>
        <w:ind w:left="360" w:hanging="360"/>
      </w:pPr>
      <w:hyperlink r:id="rId15" w:history="1">
        <w:r w:rsidR="00A701AD" w:rsidRPr="0081612B">
          <w:rPr>
            <w:rStyle w:val="Hyperlink"/>
          </w:rPr>
          <w:t>Runaway and Homeless Youth Act grantee (RHY-HMIS) data</w:t>
        </w:r>
      </w:hyperlink>
      <w:r w:rsidR="00A701AD">
        <w:t>;</w:t>
      </w:r>
    </w:p>
    <w:p w14:paraId="4E842584" w14:textId="77777777" w:rsidR="00A701AD" w:rsidRDefault="00A701AD" w:rsidP="00265EB7">
      <w:pPr>
        <w:pStyle w:val="ListParagraph"/>
        <w:numPr>
          <w:ilvl w:val="0"/>
          <w:numId w:val="3"/>
        </w:numPr>
        <w:spacing w:after="0"/>
        <w:ind w:left="360" w:hanging="360"/>
      </w:pPr>
      <w:r>
        <w:t xml:space="preserve">U.S. Census Bureau </w:t>
      </w:r>
      <w:hyperlink r:id="rId16" w:history="1">
        <w:r w:rsidRPr="0081612B">
          <w:rPr>
            <w:rStyle w:val="Hyperlink"/>
          </w:rPr>
          <w:t>American Housing Survey (AHS) data</w:t>
        </w:r>
      </w:hyperlink>
      <w:r>
        <w:t>; and</w:t>
      </w:r>
    </w:p>
    <w:p w14:paraId="3EA0139E" w14:textId="77777777" w:rsidR="00A701AD" w:rsidRDefault="00A701AD" w:rsidP="00025EF4">
      <w:pPr>
        <w:pStyle w:val="ListParagraph"/>
        <w:numPr>
          <w:ilvl w:val="0"/>
          <w:numId w:val="3"/>
        </w:numPr>
        <w:spacing w:after="0"/>
        <w:ind w:left="360" w:hanging="360"/>
      </w:pPr>
      <w:r>
        <w:t>other relevant data sources, as appropriate to the specific federal, state, or local context.</w:t>
      </w:r>
    </w:p>
    <w:p w14:paraId="1E1D65FF" w14:textId="18AF9185" w:rsidR="00A701AD" w:rsidRDefault="00A701AD" w:rsidP="00265EB7">
      <w:r>
        <w:t xml:space="preserve">Each </w:t>
      </w:r>
      <w:r w:rsidR="0067712D">
        <w:t>source provides unique insights</w:t>
      </w:r>
      <w:r>
        <w:t xml:space="preserve">; as such, the most accurate and complete picture of family and youth homelessness can be developed </w:t>
      </w:r>
      <w:r w:rsidR="0067712D">
        <w:t xml:space="preserve">only </w:t>
      </w:r>
      <w:r>
        <w:t xml:space="preserve">when considering </w:t>
      </w:r>
      <w:proofErr w:type="gramStart"/>
      <w:r>
        <w:t>all of</w:t>
      </w:r>
      <w:proofErr w:type="gramEnd"/>
      <w:r>
        <w:t xml:space="preserve"> these sources. </w:t>
      </w:r>
      <w:proofErr w:type="spellStart"/>
      <w:r>
        <w:t>CoCs</w:t>
      </w:r>
      <w:proofErr w:type="spellEnd"/>
      <w:r>
        <w:t xml:space="preserve"> and schools are encouraged to work together to share and leverage their respective data sets</w:t>
      </w:r>
      <w:r w:rsidR="000048AB">
        <w:t>,</w:t>
      </w:r>
      <w:r w:rsidR="00267F6F">
        <w:t xml:space="preserve"> in accordance with applicable law,</w:t>
      </w:r>
      <w:r>
        <w:t xml:space="preserve"> by referencing each other’s numbers in reports and public talking points, as appropriate, and using multiple sources of data to inform local efforts to serve families and youth.</w:t>
      </w:r>
    </w:p>
    <w:p w14:paraId="1240871D" w14:textId="29AA12F5" w:rsidR="004C69A5" w:rsidRPr="004C69A5" w:rsidRDefault="004C69A5" w:rsidP="00025EF4">
      <w:pPr>
        <w:rPr>
          <w:rFonts w:ascii="Georgia" w:eastAsia="Georgia" w:hAnsi="Georgia" w:cs="Georgia"/>
          <w:b/>
          <w:bCs/>
          <w:color w:val="9A9D36"/>
          <w:sz w:val="21"/>
          <w:szCs w:val="21"/>
        </w:rPr>
      </w:pPr>
      <w:r w:rsidRPr="004C69A5">
        <w:rPr>
          <w:rFonts w:ascii="Georgia" w:eastAsia="Georgia" w:hAnsi="Georgia" w:cs="Georgia"/>
          <w:b/>
          <w:bCs/>
          <w:color w:val="9A9D36"/>
          <w:sz w:val="21"/>
          <w:szCs w:val="21"/>
        </w:rPr>
        <w:t xml:space="preserve">Statutory Guidelines under </w:t>
      </w:r>
      <w:r w:rsidRPr="00025EF4">
        <w:rPr>
          <w:rFonts w:ascii="Georgia" w:eastAsia="Georgia" w:hAnsi="Georgia" w:cs="Georgia"/>
          <w:b/>
          <w:bCs/>
          <w:color w:val="9A9D36"/>
          <w:sz w:val="20"/>
          <w:szCs w:val="20"/>
        </w:rPr>
        <w:t>PPRA</w:t>
      </w:r>
      <w:r>
        <w:rPr>
          <w:rFonts w:ascii="Georgia" w:eastAsia="Georgia" w:hAnsi="Georgia" w:cs="Georgia"/>
          <w:b/>
          <w:bCs/>
          <w:color w:val="9A9D36"/>
          <w:sz w:val="21"/>
          <w:szCs w:val="21"/>
        </w:rPr>
        <w:t xml:space="preserve"> and FERPA</w:t>
      </w:r>
    </w:p>
    <w:p w14:paraId="6D17F082" w14:textId="3AFB7A98" w:rsidR="004C69A5" w:rsidRDefault="004C69A5" w:rsidP="00265EB7">
      <w:r>
        <w:t xml:space="preserve">The two key pieces of federal legislation that guide how local educational agencies (LEAs) and schools may engage in PIT count planning and implementation are the </w:t>
      </w:r>
      <w:hyperlink r:id="rId17" w:history="1">
        <w:r w:rsidRPr="0067712D">
          <w:rPr>
            <w:rStyle w:val="Hyperlink"/>
          </w:rPr>
          <w:t>Protection of Pupil Rights Amendment (PPRA)</w:t>
        </w:r>
      </w:hyperlink>
      <w:r>
        <w:t xml:space="preserve"> and the </w:t>
      </w:r>
      <w:hyperlink r:id="rId18" w:history="1">
        <w:r w:rsidRPr="0067712D">
          <w:rPr>
            <w:rStyle w:val="Hyperlink"/>
          </w:rPr>
          <w:t>Family Educational Rights and Privacy Act (FERPA)</w:t>
        </w:r>
      </w:hyperlink>
      <w:r>
        <w:t>.</w:t>
      </w:r>
      <w:r w:rsidR="00C501FD">
        <w:t xml:space="preserve"> PPRA addresses the administration of surveys, while FERPA addresses the sharing of personally identifiable information (PII) about students with third parties.</w:t>
      </w:r>
    </w:p>
    <w:p w14:paraId="2CA02E7A" w14:textId="16FC6F5D" w:rsidR="00485500" w:rsidRDefault="0070187B" w:rsidP="00025EF4">
      <w:pPr>
        <w:spacing w:after="0"/>
      </w:pPr>
      <w:r>
        <w:rPr>
          <w:b/>
        </w:rPr>
        <w:t xml:space="preserve">Survey administration under PPRA: </w:t>
      </w:r>
      <w:r w:rsidR="004C69A5">
        <w:t xml:space="preserve">PPRA </w:t>
      </w:r>
      <w:r w:rsidR="00EB7626">
        <w:t>[</w:t>
      </w:r>
      <w:r w:rsidR="00EB7626" w:rsidRPr="004C69A5">
        <w:t>20 U.S.C. § 1232h(c)</w:t>
      </w:r>
      <w:r w:rsidR="00EB7626">
        <w:t xml:space="preserve">] </w:t>
      </w:r>
      <w:r w:rsidR="004C69A5" w:rsidRPr="004C69A5">
        <w:t>requires LEAs to develop and adopt policies, in consultation with parents, regarding</w:t>
      </w:r>
    </w:p>
    <w:p w14:paraId="54F598D7" w14:textId="79204907" w:rsidR="00485500" w:rsidRDefault="00485500" w:rsidP="00485500">
      <w:pPr>
        <w:pStyle w:val="ListParagraph"/>
        <w:numPr>
          <w:ilvl w:val="0"/>
          <w:numId w:val="6"/>
        </w:numPr>
      </w:pPr>
      <w:r>
        <w:t xml:space="preserve">the right of a parent of a student to </w:t>
      </w:r>
      <w:r w:rsidR="00EB7626">
        <w:t>inspect, upon request</w:t>
      </w:r>
      <w:r>
        <w:t xml:space="preserve">, a survey created by a third party before the survey is administered or distributed by a school to a student; </w:t>
      </w:r>
    </w:p>
    <w:p w14:paraId="6520E83A" w14:textId="1AF56AE3" w:rsidR="00485500" w:rsidRDefault="00485500" w:rsidP="00485500">
      <w:pPr>
        <w:pStyle w:val="ListParagraph"/>
        <w:numPr>
          <w:ilvl w:val="0"/>
          <w:numId w:val="6"/>
        </w:numPr>
      </w:pPr>
      <w:r>
        <w:t xml:space="preserve">any applicable procedures for granting a request by a parent for reasonable access to such survey within a reasonable </w:t>
      </w:r>
      <w:proofErr w:type="gramStart"/>
      <w:r>
        <w:t>period of time</w:t>
      </w:r>
      <w:proofErr w:type="gramEnd"/>
      <w:r w:rsidR="000551F6">
        <w:t xml:space="preserve"> after the request is received;</w:t>
      </w:r>
    </w:p>
    <w:p w14:paraId="1BF8A10E" w14:textId="106BCF97" w:rsidR="00EB7626" w:rsidRDefault="00485500" w:rsidP="00485500">
      <w:pPr>
        <w:pStyle w:val="ListParagraph"/>
        <w:numPr>
          <w:ilvl w:val="0"/>
          <w:numId w:val="6"/>
        </w:numPr>
      </w:pPr>
      <w:r>
        <w:t>arrangements to protect student privacy that are provided by the agency in the event of the administration or distribution of a survey to a student containing</w:t>
      </w:r>
      <w:r w:rsidR="004C69A5" w:rsidRPr="004C69A5">
        <w:t xml:space="preserve"> certain protected categories of information</w:t>
      </w:r>
      <w:r w:rsidR="000551F6">
        <w:t>; and</w:t>
      </w:r>
    </w:p>
    <w:p w14:paraId="246A2483" w14:textId="459F3D56" w:rsidR="004C69A5" w:rsidRDefault="000551F6" w:rsidP="00025EF4">
      <w:pPr>
        <w:pStyle w:val="ListParagraph"/>
        <w:numPr>
          <w:ilvl w:val="0"/>
          <w:numId w:val="6"/>
        </w:numPr>
        <w:spacing w:after="0"/>
      </w:pPr>
      <w:r>
        <w:t>offering an opportunity for the parent to opt the student out of participation in such surveys.</w:t>
      </w:r>
    </w:p>
    <w:p w14:paraId="5EDE1841" w14:textId="4FD439E8" w:rsidR="003B2ECB" w:rsidRPr="003B2ECB" w:rsidRDefault="003B2ECB" w:rsidP="003B2ECB">
      <w:r>
        <w:t>The rights provided to parents under PPRA transfer to the student when the student turns 18 years old or is an emancipated minor [</w:t>
      </w:r>
      <w:r w:rsidRPr="003B2ECB">
        <w:t>20 U.S.C. § 1232h(c)(5)(B)</w:t>
      </w:r>
      <w:r>
        <w:t>].</w:t>
      </w:r>
    </w:p>
    <w:p w14:paraId="00260FE8" w14:textId="2A8A0979" w:rsidR="00B63006" w:rsidRDefault="002D13F1" w:rsidP="00A3063D">
      <w:r>
        <w:rPr>
          <w:b/>
        </w:rPr>
        <w:t xml:space="preserve">Information-sharing under FERPA: </w:t>
      </w:r>
      <w:r w:rsidR="0070187B">
        <w:t>FERPA</w:t>
      </w:r>
      <w:r w:rsidR="0070187B" w:rsidRPr="0070187B">
        <w:t xml:space="preserve"> generally prohibits </w:t>
      </w:r>
      <w:r w:rsidR="00DC5E34">
        <w:t>LEAs and schools</w:t>
      </w:r>
      <w:r w:rsidR="0070187B" w:rsidRPr="0070187B">
        <w:t xml:space="preserve"> that receive funds under any program administered by the U.S. Department of Education from disclosing student education records, and the personally identifiable information</w:t>
      </w:r>
      <w:r w:rsidR="00DC5E34">
        <w:t xml:space="preserve"> (</w:t>
      </w:r>
      <w:r w:rsidR="0070187B" w:rsidRPr="0070187B">
        <w:t>PII</w:t>
      </w:r>
      <w:r w:rsidR="00DC5E34">
        <w:t>)</w:t>
      </w:r>
      <w:r w:rsidR="0070187B" w:rsidRPr="0070187B">
        <w:t xml:space="preserve"> contained therein, without the prior written consent o</w:t>
      </w:r>
      <w:r w:rsidR="00DC5E34">
        <w:t xml:space="preserve">f a parent </w:t>
      </w:r>
      <w:r w:rsidR="00C501FD">
        <w:t>[</w:t>
      </w:r>
      <w:r w:rsidR="00C501FD" w:rsidRPr="0070187B">
        <w:t>20 U.S.C. § 1232g(b)</w:t>
      </w:r>
      <w:r w:rsidR="00C501FD">
        <w:t xml:space="preserve">] </w:t>
      </w:r>
      <w:r w:rsidR="00DC5E34">
        <w:lastRenderedPageBreak/>
        <w:t>or eligible student</w:t>
      </w:r>
      <w:r w:rsidR="00C501FD">
        <w:t xml:space="preserve"> [</w:t>
      </w:r>
      <w:r w:rsidR="00C501FD" w:rsidRPr="0070187B">
        <w:t>20 U.S.C. § 1232g(</w:t>
      </w:r>
      <w:r w:rsidR="00C501FD">
        <w:t>d</w:t>
      </w:r>
      <w:r w:rsidR="00C501FD" w:rsidRPr="0070187B">
        <w:t>)</w:t>
      </w:r>
      <w:r w:rsidR="00C501FD">
        <w:t>]</w:t>
      </w:r>
      <w:r w:rsidR="00DC5E34">
        <w:t xml:space="preserve">. </w:t>
      </w:r>
      <w:r w:rsidR="00DC5E34">
        <w:rPr>
          <w:i/>
        </w:rPr>
        <w:t xml:space="preserve">Eligible student </w:t>
      </w:r>
      <w:r w:rsidR="00DC5E34">
        <w:t xml:space="preserve">is defined as </w:t>
      </w:r>
      <w:r w:rsidR="00DC5E34" w:rsidRPr="00DC5E34">
        <w:t>a student who has reached 18 years of age or is attending an institution of postsecondary education</w:t>
      </w:r>
      <w:r w:rsidR="00DC5E34">
        <w:t xml:space="preserve"> </w:t>
      </w:r>
      <w:r w:rsidR="00C501FD">
        <w:t>(</w:t>
      </w:r>
      <w:r w:rsidR="00DC5E34">
        <w:t>34</w:t>
      </w:r>
      <w:r w:rsidR="00C501FD">
        <w:t xml:space="preserve"> C.F.R. </w:t>
      </w:r>
      <w:r w:rsidR="00C501FD" w:rsidRPr="0070187B">
        <w:t>§</w:t>
      </w:r>
      <w:r w:rsidR="00C501FD">
        <w:t xml:space="preserve"> 99.30)</w:t>
      </w:r>
      <w:r w:rsidR="0070187B" w:rsidRPr="0070187B">
        <w:t>.</w:t>
      </w:r>
    </w:p>
    <w:p w14:paraId="11AF6693" w14:textId="18D10984" w:rsidR="0001540C" w:rsidRDefault="00737FDF" w:rsidP="0001540C">
      <w:pPr>
        <w:rPr>
          <w:rFonts w:ascii="Georgia" w:eastAsia="Georgia" w:hAnsi="Georgia" w:cs="Georgia"/>
          <w:b/>
          <w:bCs/>
          <w:color w:val="9A9D36"/>
          <w:sz w:val="21"/>
          <w:szCs w:val="21"/>
        </w:rPr>
      </w:pPr>
      <w:r>
        <w:t xml:space="preserve">These PPRA and FERPA guidelines make </w:t>
      </w:r>
      <w:r w:rsidR="00036393">
        <w:t>the</w:t>
      </w:r>
      <w:r>
        <w:t xml:space="preserve"> broad and systematic administration of PIT count surveys in schools difficult. </w:t>
      </w:r>
      <w:r w:rsidR="0001540C">
        <w:t>Obtaining parental consent, as applicable, for students experiencing homelessness with their families could be feasible, albeit potentially time-consuming; while obtaining parental consent for unaccompanied minors experiencing homelessness could be challenging</w:t>
      </w:r>
      <w:r>
        <w:t xml:space="preserve">, given the strained relationship that may exist between </w:t>
      </w:r>
      <w:proofErr w:type="gramStart"/>
      <w:r>
        <w:t>these youth</w:t>
      </w:r>
      <w:proofErr w:type="gramEnd"/>
      <w:r>
        <w:t xml:space="preserve"> and their parents</w:t>
      </w:r>
      <w:r w:rsidR="0001540C">
        <w:t xml:space="preserve">. As such, schools will want to weigh whether sticking to the </w:t>
      </w:r>
      <w:r>
        <w:t xml:space="preserve">suggested </w:t>
      </w:r>
      <w:r w:rsidR="0001540C">
        <w:t xml:space="preserve">planning and </w:t>
      </w:r>
      <w:r w:rsidR="0053711B">
        <w:t>awareness-building</w:t>
      </w:r>
      <w:r w:rsidR="0001540C">
        <w:t xml:space="preserve"> strategies </w:t>
      </w:r>
      <w:r>
        <w:t>below</w:t>
      </w:r>
      <w:r w:rsidR="0001540C">
        <w:t xml:space="preserve"> may be the most sensible approach to supporting their local PIT count.</w:t>
      </w:r>
    </w:p>
    <w:p w14:paraId="68DEBA0E" w14:textId="77777777" w:rsidR="00A701AD" w:rsidRPr="00D8410B" w:rsidRDefault="00A701AD" w:rsidP="00025EF4">
      <w:pPr>
        <w:rPr>
          <w:rFonts w:ascii="Georgia" w:eastAsia="Georgia" w:hAnsi="Georgia" w:cs="Georgia"/>
          <w:b/>
          <w:bCs/>
          <w:color w:val="9A9D36"/>
          <w:sz w:val="21"/>
          <w:szCs w:val="21"/>
        </w:rPr>
      </w:pPr>
      <w:r w:rsidRPr="00D8410B">
        <w:rPr>
          <w:rFonts w:ascii="Georgia" w:eastAsia="Georgia" w:hAnsi="Georgia" w:cs="Georgia"/>
          <w:b/>
          <w:bCs/>
          <w:color w:val="9A9D36"/>
          <w:sz w:val="21"/>
          <w:szCs w:val="21"/>
        </w:rPr>
        <w:t>School-</w:t>
      </w:r>
      <w:proofErr w:type="spellStart"/>
      <w:r w:rsidRPr="00D8410B">
        <w:rPr>
          <w:rFonts w:ascii="Georgia" w:eastAsia="Georgia" w:hAnsi="Georgia" w:cs="Georgia"/>
          <w:b/>
          <w:bCs/>
          <w:color w:val="9A9D36"/>
          <w:sz w:val="21"/>
          <w:szCs w:val="21"/>
        </w:rPr>
        <w:t>CoC</w:t>
      </w:r>
      <w:proofErr w:type="spellEnd"/>
      <w:r w:rsidRPr="00D8410B">
        <w:rPr>
          <w:rFonts w:ascii="Georgia" w:eastAsia="Georgia" w:hAnsi="Georgia" w:cs="Georgia"/>
          <w:b/>
          <w:bCs/>
          <w:color w:val="9A9D36"/>
          <w:sz w:val="21"/>
          <w:szCs w:val="21"/>
        </w:rPr>
        <w:t xml:space="preserve"> PIT Count </w:t>
      </w:r>
      <w:r w:rsidRPr="00025EF4">
        <w:rPr>
          <w:rFonts w:ascii="Georgia" w:eastAsia="Georgia" w:hAnsi="Georgia" w:cs="Georgia"/>
          <w:b/>
          <w:bCs/>
          <w:color w:val="9A9D36"/>
          <w:sz w:val="20"/>
          <w:szCs w:val="20"/>
        </w:rPr>
        <w:t>Collaboration</w:t>
      </w:r>
    </w:p>
    <w:p w14:paraId="4394A3CC" w14:textId="42BF3F31" w:rsidR="00A701AD" w:rsidRDefault="00A701AD" w:rsidP="00265EB7">
      <w:r>
        <w:t xml:space="preserve">In its </w:t>
      </w:r>
      <w:hyperlink r:id="rId19" w:history="1">
        <w:r w:rsidRPr="0038187F">
          <w:rPr>
            <w:rStyle w:val="Hyperlink"/>
            <w:i/>
          </w:rPr>
          <w:t>Point-in-Time Count Methodology Guide</w:t>
        </w:r>
      </w:hyperlink>
      <w:r>
        <w:t xml:space="preserve">, HUD encourages </w:t>
      </w:r>
      <w:proofErr w:type="spellStart"/>
      <w:r>
        <w:t>CoCs</w:t>
      </w:r>
      <w:proofErr w:type="spellEnd"/>
      <w:r>
        <w:t xml:space="preserve"> to involve a variety of community partners to help plan and execute the </w:t>
      </w:r>
      <w:r w:rsidR="00885419">
        <w:t>PIT count</w:t>
      </w:r>
      <w:r>
        <w:t xml:space="preserve">; local homeless education liaisons (local liaisons) and family and youth service providers are named specifically as important partners given their experience in reaching and serving families and youth experiencing homelessness. </w:t>
      </w:r>
      <w:r w:rsidR="0001540C">
        <w:t xml:space="preserve">To ensure compliance with the above PPRA and FERPA guidelines, schools and LEAs </w:t>
      </w:r>
      <w:r>
        <w:t xml:space="preserve">can support </w:t>
      </w:r>
      <w:proofErr w:type="spellStart"/>
      <w:r>
        <w:t>CoC</w:t>
      </w:r>
      <w:proofErr w:type="spellEnd"/>
      <w:r>
        <w:t xml:space="preserve"> PIT count efforts in the following ways:</w:t>
      </w:r>
    </w:p>
    <w:p w14:paraId="385C947D" w14:textId="77777777" w:rsidR="00A701AD" w:rsidRDefault="00A701AD" w:rsidP="00036393">
      <w:pPr>
        <w:spacing w:after="0"/>
      </w:pPr>
      <w:r w:rsidRPr="00036393">
        <w:rPr>
          <w:b/>
        </w:rPr>
        <w:t xml:space="preserve">Planning: </w:t>
      </w:r>
      <w:r>
        <w:t xml:space="preserve">School </w:t>
      </w:r>
      <w:r w:rsidR="00A6460B">
        <w:t xml:space="preserve">and LEA </w:t>
      </w:r>
      <w:r>
        <w:t>involvement in PIT count planning can provide valuable insights into and help with</w:t>
      </w:r>
    </w:p>
    <w:p w14:paraId="52B94EE9" w14:textId="77777777" w:rsidR="00A701AD" w:rsidRDefault="00A701AD" w:rsidP="00036393">
      <w:pPr>
        <w:pStyle w:val="ListParagraph"/>
        <w:numPr>
          <w:ilvl w:val="0"/>
          <w:numId w:val="6"/>
        </w:numPr>
      </w:pPr>
      <w:r>
        <w:t xml:space="preserve">selecting </w:t>
      </w:r>
      <w:r w:rsidR="00AE2E9A">
        <w:t>family</w:t>
      </w:r>
      <w:r>
        <w:t xml:space="preserve">- and </w:t>
      </w:r>
      <w:r w:rsidR="00AE2E9A">
        <w:t>youth</w:t>
      </w:r>
      <w:r>
        <w:t>-friendly count sites, and creatin</w:t>
      </w:r>
      <w:r w:rsidR="001062DF">
        <w:t>g a welcoming environment there;</w:t>
      </w:r>
    </w:p>
    <w:p w14:paraId="2A150FC5" w14:textId="77777777" w:rsidR="00A701AD" w:rsidRDefault="00A701AD" w:rsidP="00036393">
      <w:pPr>
        <w:pStyle w:val="ListParagraph"/>
        <w:numPr>
          <w:ilvl w:val="0"/>
          <w:numId w:val="6"/>
        </w:numPr>
      </w:pPr>
      <w:r>
        <w:t xml:space="preserve">selecting </w:t>
      </w:r>
      <w:r w:rsidR="00AE2E9A">
        <w:t>family</w:t>
      </w:r>
      <w:r>
        <w:t xml:space="preserve">- and </w:t>
      </w:r>
      <w:r w:rsidR="00AE2E9A">
        <w:t>youth</w:t>
      </w:r>
      <w:r>
        <w:t>- friendly incentives</w:t>
      </w:r>
      <w:r w:rsidRPr="00047014">
        <w:rPr>
          <w:vertAlign w:val="superscript"/>
        </w:rPr>
        <w:endnoteReference w:id="2"/>
      </w:r>
      <w:r w:rsidR="001062DF">
        <w:t xml:space="preserve"> for count participation;</w:t>
      </w:r>
    </w:p>
    <w:p w14:paraId="0E701042" w14:textId="77777777" w:rsidR="00036393" w:rsidRDefault="00A701AD" w:rsidP="00036393">
      <w:pPr>
        <w:pStyle w:val="ListParagraph"/>
        <w:numPr>
          <w:ilvl w:val="0"/>
          <w:numId w:val="6"/>
        </w:numPr>
      </w:pPr>
      <w:r>
        <w:t>recruiting PIT count volunteers</w:t>
      </w:r>
      <w:r w:rsidR="001062DF">
        <w:t>;</w:t>
      </w:r>
      <w:r>
        <w:t xml:space="preserve"> and</w:t>
      </w:r>
    </w:p>
    <w:p w14:paraId="0A22BDDF" w14:textId="7C2C6247" w:rsidR="00A701AD" w:rsidRDefault="00036393" w:rsidP="00025EF4">
      <w:pPr>
        <w:pStyle w:val="ListParagraph"/>
        <w:numPr>
          <w:ilvl w:val="0"/>
          <w:numId w:val="6"/>
        </w:numPr>
        <w:spacing w:after="0"/>
      </w:pPr>
      <w:r>
        <w:t>s</w:t>
      </w:r>
      <w:r w:rsidR="00A701AD">
        <w:t xml:space="preserve">uggesting other local </w:t>
      </w:r>
      <w:r w:rsidR="00AE2E9A">
        <w:t>family</w:t>
      </w:r>
      <w:r w:rsidR="00A701AD">
        <w:t xml:space="preserve"> and </w:t>
      </w:r>
      <w:r w:rsidR="00AE2E9A">
        <w:t>youth</w:t>
      </w:r>
      <w:r w:rsidR="00A701AD">
        <w:t xml:space="preserve"> service providers to assist with the count.</w:t>
      </w:r>
    </w:p>
    <w:p w14:paraId="71DAD306" w14:textId="77777777" w:rsidR="00A701AD" w:rsidRDefault="00A701AD" w:rsidP="00036393">
      <w:r>
        <w:t xml:space="preserve">Local liaisons and other school personnel may wish to volunteer to administer PIT count surveys to </w:t>
      </w:r>
      <w:r w:rsidR="00826B88">
        <w:t>families and youth</w:t>
      </w:r>
      <w:r>
        <w:t xml:space="preserve"> experiencing homelessness, </w:t>
      </w:r>
      <w:proofErr w:type="gramStart"/>
      <w:r>
        <w:t>provided that</w:t>
      </w:r>
      <w:proofErr w:type="gramEnd"/>
      <w:r>
        <w:t xml:space="preserve"> survey administration is conducted off school premises and during non-work hours.</w:t>
      </w:r>
    </w:p>
    <w:p w14:paraId="72DE842A" w14:textId="3CA17AB0" w:rsidR="00A701AD" w:rsidRDefault="00737FDF" w:rsidP="00036393">
      <w:pPr>
        <w:spacing w:before="240" w:after="0"/>
      </w:pPr>
      <w:r w:rsidRPr="00036393">
        <w:rPr>
          <w:b/>
        </w:rPr>
        <w:t>Awareness-building</w:t>
      </w:r>
      <w:r w:rsidR="00A701AD" w:rsidRPr="00036393">
        <w:rPr>
          <w:b/>
        </w:rPr>
        <w:t xml:space="preserve">: </w:t>
      </w:r>
      <w:r w:rsidR="0001540C">
        <w:t>S</w:t>
      </w:r>
      <w:r w:rsidR="00A701AD">
        <w:t xml:space="preserve">chools </w:t>
      </w:r>
      <w:r w:rsidR="00BF1A8B">
        <w:t xml:space="preserve">and LEAs </w:t>
      </w:r>
      <w:r w:rsidR="00A701AD">
        <w:t>can help get the word out about the PIT count by</w:t>
      </w:r>
    </w:p>
    <w:p w14:paraId="5D812A2E" w14:textId="7893695F" w:rsidR="00A701AD" w:rsidRDefault="00A701AD" w:rsidP="00025EF4">
      <w:pPr>
        <w:pStyle w:val="ListParagraph"/>
        <w:numPr>
          <w:ilvl w:val="0"/>
          <w:numId w:val="6"/>
        </w:numPr>
      </w:pPr>
      <w:r>
        <w:t xml:space="preserve">posting youth- and family-friendly information about the count throughout schools. The information should communicate who the target population is (in this case, children, youth, and families experiencing homelessness under the </w:t>
      </w:r>
      <w:hyperlink r:id="rId20" w:history="1">
        <w:r w:rsidRPr="00025EF4">
          <w:t>HUD definition</w:t>
        </w:r>
      </w:hyperlink>
      <w:r>
        <w:t xml:space="preserve">), how/where/when to participate in the count, and what the incentives are for participation. It is worth noting that many </w:t>
      </w:r>
      <w:proofErr w:type="spellStart"/>
      <w:r>
        <w:t>CoCs</w:t>
      </w:r>
      <w:proofErr w:type="spellEnd"/>
      <w:r>
        <w:t xml:space="preserve"> provide an option to complete the PIT count survey online</w:t>
      </w:r>
      <w:r w:rsidR="00EF730D">
        <w:t>; and</w:t>
      </w:r>
    </w:p>
    <w:p w14:paraId="3F3C0858" w14:textId="77777777" w:rsidR="00A701AD" w:rsidRDefault="00A701AD" w:rsidP="00025EF4">
      <w:pPr>
        <w:pStyle w:val="ListParagraph"/>
        <w:numPr>
          <w:ilvl w:val="0"/>
          <w:numId w:val="6"/>
        </w:numPr>
      </w:pPr>
      <w:r>
        <w:t>having local liaisons and/or other school personnel inform families and youth identified as homeless about the count and the possible benefits of participation.</w:t>
      </w:r>
    </w:p>
    <w:p w14:paraId="2603DB0F" w14:textId="77777777" w:rsidR="00A701AD" w:rsidRPr="00B554A0" w:rsidRDefault="00A701AD" w:rsidP="00025EF4">
      <w:pPr>
        <w:rPr>
          <w:rFonts w:ascii="Georgia" w:eastAsia="Georgia" w:hAnsi="Georgia" w:cs="Georgia"/>
          <w:b/>
          <w:bCs/>
          <w:color w:val="9A9D36"/>
          <w:sz w:val="21"/>
          <w:szCs w:val="21"/>
        </w:rPr>
      </w:pPr>
      <w:r w:rsidRPr="00B554A0">
        <w:rPr>
          <w:rFonts w:ascii="Georgia" w:eastAsia="Georgia" w:hAnsi="Georgia" w:cs="Georgia"/>
          <w:b/>
          <w:bCs/>
          <w:color w:val="9A9D36"/>
          <w:sz w:val="21"/>
          <w:szCs w:val="21"/>
        </w:rPr>
        <w:t xml:space="preserve">Getting </w:t>
      </w:r>
      <w:r w:rsidRPr="00025EF4">
        <w:rPr>
          <w:rFonts w:ascii="Georgia" w:eastAsia="Georgia" w:hAnsi="Georgia" w:cs="Georgia"/>
          <w:b/>
          <w:bCs/>
          <w:color w:val="9A9D36"/>
          <w:sz w:val="20"/>
          <w:szCs w:val="20"/>
        </w:rPr>
        <w:t>Started</w:t>
      </w:r>
    </w:p>
    <w:p w14:paraId="7CF79BB2" w14:textId="4EEB3FE6" w:rsidR="00265EB7" w:rsidRDefault="00A701AD" w:rsidP="00265EB7">
      <w:r>
        <w:t xml:space="preserve">The first step in PIT count collaboration is to connect with your housing or education partner. To locate the </w:t>
      </w:r>
      <w:proofErr w:type="spellStart"/>
      <w:r>
        <w:t>CoC</w:t>
      </w:r>
      <w:proofErr w:type="spellEnd"/>
      <w:r>
        <w:t xml:space="preserve"> in your area, visit </w:t>
      </w:r>
      <w:hyperlink r:id="rId21" w:history="1">
        <w:r w:rsidRPr="00A701AD">
          <w:rPr>
            <w:rStyle w:val="Hyperlink"/>
          </w:rPr>
          <w:t>https://www.hudexchange.info/grantees/</w:t>
        </w:r>
      </w:hyperlink>
      <w:r>
        <w:t xml:space="preserve">. To locate the local liaison(s) in your area, visit your </w:t>
      </w:r>
      <w:hyperlink r:id="rId22" w:history="1">
        <w:r w:rsidRPr="00A701AD">
          <w:rPr>
            <w:rStyle w:val="Hyperlink"/>
          </w:rPr>
          <w:t>State homeless education webpage</w:t>
        </w:r>
      </w:hyperlink>
      <w:bookmarkStart w:id="0" w:name="_GoBack"/>
      <w:bookmarkEnd w:id="0"/>
      <w:r>
        <w:t xml:space="preserve">. </w:t>
      </w:r>
      <w:r w:rsidR="00265EB7">
        <w:t>Contact should be made early to ensure sufficient time for effective planning and implementation.</w:t>
      </w:r>
    </w:p>
    <w:p w14:paraId="421D0648" w14:textId="77777777" w:rsidR="00265EB7" w:rsidRPr="00B554A0" w:rsidRDefault="00265EB7" w:rsidP="00025EF4">
      <w:pPr>
        <w:rPr>
          <w:rFonts w:ascii="Georgia" w:eastAsia="Georgia" w:hAnsi="Georgia" w:cs="Georgia"/>
          <w:b/>
          <w:bCs/>
          <w:color w:val="9A9D36"/>
          <w:sz w:val="21"/>
          <w:szCs w:val="21"/>
        </w:rPr>
      </w:pPr>
      <w:r w:rsidRPr="00B554A0">
        <w:rPr>
          <w:rFonts w:ascii="Georgia" w:eastAsia="Georgia" w:hAnsi="Georgia" w:cs="Georgia"/>
          <w:b/>
          <w:bCs/>
          <w:color w:val="9A9D36"/>
          <w:sz w:val="21"/>
          <w:szCs w:val="21"/>
        </w:rPr>
        <w:t>For More Information</w:t>
      </w:r>
    </w:p>
    <w:p w14:paraId="6E86D37E" w14:textId="77777777" w:rsidR="00265EB7" w:rsidRDefault="00265EB7" w:rsidP="00025EF4">
      <w:pPr>
        <w:spacing w:after="0"/>
      </w:pPr>
      <w:r>
        <w:t>For more information on planning an effective and youth-friendly PIT count,</w:t>
      </w:r>
    </w:p>
    <w:p w14:paraId="456C72B9" w14:textId="77777777" w:rsidR="00265EB7" w:rsidRDefault="00A701AD" w:rsidP="00B554A0">
      <w:pPr>
        <w:pStyle w:val="ListParagraph"/>
        <w:numPr>
          <w:ilvl w:val="0"/>
          <w:numId w:val="4"/>
        </w:numPr>
        <w:ind w:left="360" w:hanging="360"/>
      </w:pPr>
      <w:r>
        <w:t>download</w:t>
      </w:r>
      <w:r w:rsidR="00265EB7">
        <w:t xml:space="preserve"> </w:t>
      </w:r>
      <w:r>
        <w:t xml:space="preserve">Voices of Youth Count’s </w:t>
      </w:r>
      <w:hyperlink r:id="rId23" w:history="1">
        <w:r w:rsidRPr="00A701AD">
          <w:rPr>
            <w:rStyle w:val="Hyperlink"/>
            <w:i/>
          </w:rPr>
          <w:t>Conducting a Youth Count: A Toolkit</w:t>
        </w:r>
      </w:hyperlink>
      <w:r w:rsidR="00265EB7">
        <w:t>.</w:t>
      </w:r>
    </w:p>
    <w:p w14:paraId="6C79F70D" w14:textId="77777777" w:rsidR="00265EB7" w:rsidRDefault="00265EB7" w:rsidP="00B554A0">
      <w:pPr>
        <w:pStyle w:val="ListParagraph"/>
        <w:numPr>
          <w:ilvl w:val="0"/>
          <w:numId w:val="4"/>
        </w:numPr>
        <w:ind w:left="360" w:hanging="360"/>
      </w:pPr>
      <w:r>
        <w:t xml:space="preserve">download HUD’s </w:t>
      </w:r>
      <w:hyperlink r:id="rId24" w:history="1">
        <w:r w:rsidRPr="00A701AD">
          <w:rPr>
            <w:rStyle w:val="Hyperlink"/>
            <w:i/>
          </w:rPr>
          <w:t>Point-in-Time Count Planning Worksheet</w:t>
        </w:r>
      </w:hyperlink>
      <w:r>
        <w:t>.</w:t>
      </w:r>
    </w:p>
    <w:sectPr w:rsidR="00265EB7" w:rsidSect="00C91076"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CF971E" w14:textId="77777777" w:rsidR="00955593" w:rsidRDefault="00955593" w:rsidP="00A1193B">
      <w:pPr>
        <w:spacing w:after="0" w:line="240" w:lineRule="auto"/>
      </w:pPr>
      <w:r>
        <w:separator/>
      </w:r>
    </w:p>
  </w:endnote>
  <w:endnote w:type="continuationSeparator" w:id="0">
    <w:p w14:paraId="612F321D" w14:textId="77777777" w:rsidR="00955593" w:rsidRDefault="00955593" w:rsidP="00A1193B">
      <w:pPr>
        <w:spacing w:after="0" w:line="240" w:lineRule="auto"/>
      </w:pPr>
      <w:r>
        <w:continuationSeparator/>
      </w:r>
    </w:p>
  </w:endnote>
  <w:endnote w:id="1">
    <w:p w14:paraId="537EC58E" w14:textId="77777777" w:rsidR="00A701AD" w:rsidRPr="00047014" w:rsidRDefault="00A701AD" w:rsidP="003E2A0F">
      <w:pPr>
        <w:pStyle w:val="EndnoteText"/>
        <w:spacing w:line="216" w:lineRule="auto"/>
        <w:rPr>
          <w:sz w:val="12"/>
          <w:szCs w:val="14"/>
        </w:rPr>
      </w:pPr>
      <w:r w:rsidRPr="00047014">
        <w:rPr>
          <w:rStyle w:val="EndnoteReference"/>
          <w:sz w:val="12"/>
          <w:szCs w:val="14"/>
        </w:rPr>
        <w:endnoteRef/>
      </w:r>
      <w:r w:rsidRPr="00047014">
        <w:rPr>
          <w:sz w:val="12"/>
          <w:szCs w:val="14"/>
        </w:rPr>
        <w:t xml:space="preserve"> While only required by HUD during odd years, many </w:t>
      </w:r>
      <w:proofErr w:type="spellStart"/>
      <w:r w:rsidRPr="00047014">
        <w:rPr>
          <w:sz w:val="12"/>
          <w:szCs w:val="14"/>
        </w:rPr>
        <w:t>CoCs</w:t>
      </w:r>
      <w:proofErr w:type="spellEnd"/>
      <w:r w:rsidRPr="00047014">
        <w:rPr>
          <w:sz w:val="12"/>
          <w:szCs w:val="14"/>
        </w:rPr>
        <w:t xml:space="preserve"> conduct an unsheltered count every year.</w:t>
      </w:r>
    </w:p>
  </w:endnote>
  <w:endnote w:id="2">
    <w:p w14:paraId="0B1A099C" w14:textId="0BD502A2" w:rsidR="00A701AD" w:rsidRPr="00047014" w:rsidRDefault="00A701AD" w:rsidP="003E2A0F">
      <w:pPr>
        <w:pStyle w:val="EndnoteText"/>
        <w:spacing w:line="216" w:lineRule="auto"/>
        <w:rPr>
          <w:sz w:val="12"/>
          <w:szCs w:val="14"/>
        </w:rPr>
      </w:pPr>
      <w:r w:rsidRPr="00047014">
        <w:rPr>
          <w:rStyle w:val="EndnoteReference"/>
          <w:sz w:val="12"/>
          <w:szCs w:val="14"/>
        </w:rPr>
        <w:endnoteRef/>
      </w:r>
      <w:r w:rsidRPr="00047014">
        <w:rPr>
          <w:sz w:val="12"/>
          <w:szCs w:val="14"/>
        </w:rPr>
        <w:t xml:space="preserve"> Many </w:t>
      </w:r>
      <w:proofErr w:type="spellStart"/>
      <w:r w:rsidRPr="00047014">
        <w:rPr>
          <w:sz w:val="12"/>
          <w:szCs w:val="14"/>
        </w:rPr>
        <w:t>CoCs</w:t>
      </w:r>
      <w:proofErr w:type="spellEnd"/>
      <w:r w:rsidRPr="00047014">
        <w:rPr>
          <w:sz w:val="12"/>
          <w:szCs w:val="14"/>
        </w:rPr>
        <w:t xml:space="preserve"> provide incentives to homeless people who participate in the PIT count. Incentives may include transit passes, meal gift cards, toiletries, backpacks, blankets, and items of clothing.</w:t>
      </w:r>
      <w:r w:rsidR="00A567E8">
        <w:rPr>
          <w:sz w:val="12"/>
          <w:szCs w:val="14"/>
        </w:rPr>
        <w:br/>
      </w:r>
    </w:p>
    <w:p w14:paraId="6E7C28CA" w14:textId="2C35C784" w:rsidR="00136697" w:rsidRDefault="00136697" w:rsidP="003E2A0F">
      <w:pPr>
        <w:pStyle w:val="EndnoteText"/>
        <w:spacing w:line="216" w:lineRule="auto"/>
        <w:rPr>
          <w:sz w:val="13"/>
          <w:szCs w:val="13"/>
        </w:rPr>
      </w:pPr>
    </w:p>
    <w:p w14:paraId="3182F43F" w14:textId="77777777" w:rsidR="00136697" w:rsidRPr="00C91076" w:rsidRDefault="00136697" w:rsidP="00136697">
      <w:pPr>
        <w:pStyle w:val="EndnoteText"/>
        <w:spacing w:line="216" w:lineRule="auto"/>
        <w:jc w:val="center"/>
        <w:rPr>
          <w:rFonts w:ascii="Georgia" w:hAnsi="Georgia"/>
          <w:b/>
          <w:color w:val="2F5496" w:themeColor="accent1" w:themeShade="BF"/>
          <w:sz w:val="14"/>
          <w:szCs w:val="14"/>
        </w:rPr>
      </w:pPr>
      <w:r w:rsidRPr="00C91076">
        <w:rPr>
          <w:rFonts w:ascii="Georgia" w:hAnsi="Georgia"/>
          <w:b/>
          <w:color w:val="2F5496" w:themeColor="accent1" w:themeShade="BF"/>
          <w:sz w:val="14"/>
          <w:szCs w:val="14"/>
        </w:rPr>
        <w:t>National Center for Homeless Education (</w:t>
      </w:r>
      <w:proofErr w:type="gramStart"/>
      <w:r w:rsidRPr="00C91076">
        <w:rPr>
          <w:rFonts w:ascii="Georgia" w:hAnsi="Georgia"/>
          <w:b/>
          <w:color w:val="2F5496" w:themeColor="accent1" w:themeShade="BF"/>
          <w:sz w:val="14"/>
          <w:szCs w:val="14"/>
        </w:rPr>
        <w:t xml:space="preserve">NCHE)   </w:t>
      </w:r>
      <w:proofErr w:type="gramEnd"/>
      <w:r w:rsidRPr="00C91076">
        <w:rPr>
          <w:rFonts w:ascii="Georgia" w:hAnsi="Georgia"/>
          <w:b/>
          <w:color w:val="2F5496" w:themeColor="accent1" w:themeShade="BF"/>
          <w:sz w:val="14"/>
          <w:szCs w:val="14"/>
        </w:rPr>
        <w:t xml:space="preserve"> |   </w:t>
      </w:r>
      <w:hyperlink r:id="rId1" w:history="1">
        <w:r w:rsidRPr="00C91076">
          <w:rPr>
            <w:rStyle w:val="Hyperlink"/>
            <w:rFonts w:ascii="Georgia" w:hAnsi="Georgia"/>
            <w:b/>
            <w:color w:val="2F5496" w:themeColor="accent1" w:themeShade="BF"/>
            <w:sz w:val="14"/>
            <w:szCs w:val="14"/>
          </w:rPr>
          <w:t>http://nche.ed.gov</w:t>
        </w:r>
      </w:hyperlink>
    </w:p>
    <w:p w14:paraId="2633EFCB" w14:textId="7A94E001" w:rsidR="00136697" w:rsidRPr="00025EF4" w:rsidRDefault="00136697" w:rsidP="00136697">
      <w:pPr>
        <w:spacing w:after="0"/>
        <w:jc w:val="center"/>
        <w:rPr>
          <w:sz w:val="13"/>
          <w:szCs w:val="13"/>
        </w:rPr>
      </w:pPr>
      <w:r w:rsidRPr="00C91076">
        <w:rPr>
          <w:rFonts w:ascii="Georgia" w:eastAsia="Georgia" w:hAnsi="Georgia" w:cs="Georgia"/>
          <w:bCs/>
          <w:i/>
          <w:color w:val="9A9D36"/>
          <w:sz w:val="14"/>
          <w:szCs w:val="14"/>
        </w:rPr>
        <w:t>The U.S. Department of Education’s technical assistance center for the federal Education for Homeless Children and Youth (EHCY) Program</w:t>
      </w:r>
      <w:r w:rsidRPr="00C91076">
        <w:rPr>
          <w:rFonts w:ascii="Georgia" w:eastAsia="Georgia" w:hAnsi="Georgia" w:cs="Georgia"/>
          <w:bCs/>
          <w:i/>
          <w:color w:val="9A9D36"/>
          <w:sz w:val="14"/>
          <w:szCs w:val="14"/>
        </w:rPr>
        <w:br/>
      </w:r>
      <w:r w:rsidRPr="00C91076">
        <w:rPr>
          <w:rFonts w:ascii="Georgia" w:hAnsi="Georgia"/>
          <w:i/>
          <w:sz w:val="14"/>
          <w:szCs w:val="14"/>
        </w:rPr>
        <w:t>This fact sheet was produced with funding from the U.S. Department of Education under contract no. ED-ESE-14-C-0131.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842DBE" w14:textId="77777777" w:rsidR="00955593" w:rsidRDefault="00955593" w:rsidP="00A1193B">
      <w:pPr>
        <w:spacing w:after="0" w:line="240" w:lineRule="auto"/>
      </w:pPr>
      <w:r>
        <w:separator/>
      </w:r>
    </w:p>
  </w:footnote>
  <w:footnote w:type="continuationSeparator" w:id="0">
    <w:p w14:paraId="0F8066F5" w14:textId="77777777" w:rsidR="00955593" w:rsidRDefault="00955593" w:rsidP="00A119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232EA1"/>
    <w:multiLevelType w:val="hybridMultilevel"/>
    <w:tmpl w:val="2390B3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CA23955"/>
    <w:multiLevelType w:val="hybridMultilevel"/>
    <w:tmpl w:val="5B008A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DA13A0"/>
    <w:multiLevelType w:val="hybridMultilevel"/>
    <w:tmpl w:val="B608E4C8"/>
    <w:lvl w:ilvl="0" w:tplc="65A61CE4"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AC0090"/>
    <w:multiLevelType w:val="hybridMultilevel"/>
    <w:tmpl w:val="E32230FC"/>
    <w:lvl w:ilvl="0" w:tplc="65A61CE4">
      <w:numFmt w:val="bullet"/>
      <w:lvlText w:val="•"/>
      <w:lvlJc w:val="left"/>
      <w:pPr>
        <w:ind w:left="720" w:hanging="72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EA65F6C"/>
    <w:multiLevelType w:val="hybridMultilevel"/>
    <w:tmpl w:val="17C2D434"/>
    <w:lvl w:ilvl="0" w:tplc="65A61CE4">
      <w:numFmt w:val="bullet"/>
      <w:lvlText w:val="•"/>
      <w:lvlJc w:val="left"/>
      <w:pPr>
        <w:ind w:left="144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2740F29"/>
    <w:multiLevelType w:val="hybridMultilevel"/>
    <w:tmpl w:val="87CAE7C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EB7"/>
    <w:rsid w:val="000048AB"/>
    <w:rsid w:val="0001540C"/>
    <w:rsid w:val="00025EF4"/>
    <w:rsid w:val="00035A33"/>
    <w:rsid w:val="00036393"/>
    <w:rsid w:val="00047014"/>
    <w:rsid w:val="00050CD5"/>
    <w:rsid w:val="000551F6"/>
    <w:rsid w:val="00084E3A"/>
    <w:rsid w:val="000D6866"/>
    <w:rsid w:val="00103555"/>
    <w:rsid w:val="001062DF"/>
    <w:rsid w:val="00136697"/>
    <w:rsid w:val="00152EEF"/>
    <w:rsid w:val="001732E0"/>
    <w:rsid w:val="001B7ED6"/>
    <w:rsid w:val="001E09FB"/>
    <w:rsid w:val="00201E05"/>
    <w:rsid w:val="00242282"/>
    <w:rsid w:val="00254B63"/>
    <w:rsid w:val="00265EB7"/>
    <w:rsid w:val="00267F6F"/>
    <w:rsid w:val="0029722C"/>
    <w:rsid w:val="002C2A49"/>
    <w:rsid w:val="002D13F1"/>
    <w:rsid w:val="002F4E50"/>
    <w:rsid w:val="0031553F"/>
    <w:rsid w:val="003405E8"/>
    <w:rsid w:val="0034736C"/>
    <w:rsid w:val="0038187F"/>
    <w:rsid w:val="00393482"/>
    <w:rsid w:val="003B2ECB"/>
    <w:rsid w:val="003E2A0F"/>
    <w:rsid w:val="003F3AA8"/>
    <w:rsid w:val="0041394C"/>
    <w:rsid w:val="004361DC"/>
    <w:rsid w:val="00485500"/>
    <w:rsid w:val="0049235A"/>
    <w:rsid w:val="004B5A85"/>
    <w:rsid w:val="004C3380"/>
    <w:rsid w:val="004C69A5"/>
    <w:rsid w:val="004E4A39"/>
    <w:rsid w:val="004F5569"/>
    <w:rsid w:val="0050570D"/>
    <w:rsid w:val="00532734"/>
    <w:rsid w:val="0053711B"/>
    <w:rsid w:val="00543E69"/>
    <w:rsid w:val="00555C90"/>
    <w:rsid w:val="00564A20"/>
    <w:rsid w:val="00590C8F"/>
    <w:rsid w:val="005C3D80"/>
    <w:rsid w:val="00635796"/>
    <w:rsid w:val="006437C3"/>
    <w:rsid w:val="00655914"/>
    <w:rsid w:val="0067712D"/>
    <w:rsid w:val="00680BDF"/>
    <w:rsid w:val="0069708D"/>
    <w:rsid w:val="006B4CDF"/>
    <w:rsid w:val="006B6DC4"/>
    <w:rsid w:val="006F0858"/>
    <w:rsid w:val="0070187B"/>
    <w:rsid w:val="0072582D"/>
    <w:rsid w:val="007258F0"/>
    <w:rsid w:val="00737FDF"/>
    <w:rsid w:val="007566D5"/>
    <w:rsid w:val="00766FF7"/>
    <w:rsid w:val="00775F3A"/>
    <w:rsid w:val="007F5D4E"/>
    <w:rsid w:val="00814D31"/>
    <w:rsid w:val="0081612B"/>
    <w:rsid w:val="00826B88"/>
    <w:rsid w:val="00860B24"/>
    <w:rsid w:val="0087579A"/>
    <w:rsid w:val="00885419"/>
    <w:rsid w:val="008D0A75"/>
    <w:rsid w:val="009050C1"/>
    <w:rsid w:val="009449C0"/>
    <w:rsid w:val="00955593"/>
    <w:rsid w:val="0096190D"/>
    <w:rsid w:val="009778CB"/>
    <w:rsid w:val="00990D6A"/>
    <w:rsid w:val="009A0669"/>
    <w:rsid w:val="009D54EA"/>
    <w:rsid w:val="00A1193B"/>
    <w:rsid w:val="00A2164A"/>
    <w:rsid w:val="00A261CB"/>
    <w:rsid w:val="00A3063D"/>
    <w:rsid w:val="00A45EAF"/>
    <w:rsid w:val="00A567E8"/>
    <w:rsid w:val="00A6460B"/>
    <w:rsid w:val="00A701AD"/>
    <w:rsid w:val="00A8621F"/>
    <w:rsid w:val="00A92363"/>
    <w:rsid w:val="00A94D13"/>
    <w:rsid w:val="00AE1E6A"/>
    <w:rsid w:val="00AE2E9A"/>
    <w:rsid w:val="00B16E1B"/>
    <w:rsid w:val="00B305D2"/>
    <w:rsid w:val="00B4077E"/>
    <w:rsid w:val="00B554A0"/>
    <w:rsid w:val="00B63006"/>
    <w:rsid w:val="00B95E55"/>
    <w:rsid w:val="00BD51FD"/>
    <w:rsid w:val="00BF1A8B"/>
    <w:rsid w:val="00C21B36"/>
    <w:rsid w:val="00C41031"/>
    <w:rsid w:val="00C501FD"/>
    <w:rsid w:val="00C5403C"/>
    <w:rsid w:val="00C64CAC"/>
    <w:rsid w:val="00C91076"/>
    <w:rsid w:val="00CD0B53"/>
    <w:rsid w:val="00CE3D24"/>
    <w:rsid w:val="00CF39BE"/>
    <w:rsid w:val="00D320E2"/>
    <w:rsid w:val="00D362D6"/>
    <w:rsid w:val="00D41451"/>
    <w:rsid w:val="00D56447"/>
    <w:rsid w:val="00D77CBA"/>
    <w:rsid w:val="00D8410B"/>
    <w:rsid w:val="00DC5E34"/>
    <w:rsid w:val="00DD21BB"/>
    <w:rsid w:val="00E2185E"/>
    <w:rsid w:val="00E37A1D"/>
    <w:rsid w:val="00E40B8D"/>
    <w:rsid w:val="00E60A77"/>
    <w:rsid w:val="00E92DC8"/>
    <w:rsid w:val="00EB7626"/>
    <w:rsid w:val="00EF730D"/>
    <w:rsid w:val="00F11C93"/>
    <w:rsid w:val="00F2590D"/>
    <w:rsid w:val="00F26C0C"/>
    <w:rsid w:val="00F44741"/>
    <w:rsid w:val="00F51BEC"/>
    <w:rsid w:val="00F67652"/>
    <w:rsid w:val="00F7437E"/>
    <w:rsid w:val="00F75777"/>
    <w:rsid w:val="00FA5279"/>
    <w:rsid w:val="00FB33D9"/>
    <w:rsid w:val="00FC437E"/>
    <w:rsid w:val="00FD015F"/>
    <w:rsid w:val="00FE314E"/>
    <w:rsid w:val="00FE5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2C1ED7"/>
  <w15:docId w15:val="{A87520A3-4266-4B59-8C66-8D7AF2804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410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554A0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554A0"/>
    <w:rPr>
      <w:color w:val="808080"/>
      <w:shd w:val="clear" w:color="auto" w:fill="E6E6E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1193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1193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1193B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unhideWhenUsed/>
    <w:rsid w:val="00A701AD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A701AD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A701AD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3F3A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3A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3AA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3A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3AA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3A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3AA8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9A0669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7712D"/>
    <w:rPr>
      <w:color w:val="808080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025E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5EF4"/>
  </w:style>
  <w:style w:type="paragraph" w:styleId="Footer">
    <w:name w:val="footer"/>
    <w:basedOn w:val="Normal"/>
    <w:link w:val="FooterChar"/>
    <w:uiPriority w:val="99"/>
    <w:unhideWhenUsed/>
    <w:rsid w:val="00025E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5E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78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hudexchange.info/homelessness-assistance/ahar/" TargetMode="External"/><Relationship Id="rId18" Type="http://schemas.openxmlformats.org/officeDocument/2006/relationships/hyperlink" Target="https://www.gpo.gov/fdsys/pkg/USCODE-2011-title20/pdf/USCODE-2011-title20-chap31-subchapIII-part4-sec1232g.pdf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www.hudexchange.info/grantees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hudexchange.info/homelessness-assistance/ahar/" TargetMode="External"/><Relationship Id="rId17" Type="http://schemas.openxmlformats.org/officeDocument/2006/relationships/hyperlink" Target="https://www.gpo.gov/fdsys/pkg/USCODE-2010-title20/pdf/USCODE-2010-title20-chap31-subchapIII-part4-sec1232h.pdf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census.gov/programs-surveys/ahs.html" TargetMode="External"/><Relationship Id="rId20" Type="http://schemas.openxmlformats.org/officeDocument/2006/relationships/hyperlink" Target="https://www.hudexchange.info/resources/documents/HEARTH_HomelessDefinition_FinalRule.pd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nche.ed.gov/pr/data_comp.php" TargetMode="External"/><Relationship Id="rId24" Type="http://schemas.openxmlformats.org/officeDocument/2006/relationships/hyperlink" Target="https://www.hudexchange.info/resources/documents/PIT-Count-Planning-Worksheet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rhyttac.net/rhy-hmis" TargetMode="External"/><Relationship Id="rId23" Type="http://schemas.openxmlformats.org/officeDocument/2006/relationships/hyperlink" Target="http://voicesofyouthcount.org/resource/conducting-a-youth-count-a-toolkit/" TargetMode="External"/><Relationship Id="rId10" Type="http://schemas.openxmlformats.org/officeDocument/2006/relationships/hyperlink" Target="https://www.usich.gov/resources/uploads/asset_library/Home-Together-Federal-Strategic-Plan-to-Prevent-and-End-Homelessness.pdf" TargetMode="External"/><Relationship Id="rId19" Type="http://schemas.openxmlformats.org/officeDocument/2006/relationships/hyperlink" Target="https://www.hudexchange.info/resources/documents/PIT-Count-Methodology-Guide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hudexchange.info/programs/coc/" TargetMode="External"/><Relationship Id="rId14" Type="http://schemas.openxmlformats.org/officeDocument/2006/relationships/hyperlink" Target="https://www.huduser.gov/portal/publications/Worst-Case-Housing-Needs.html" TargetMode="External"/><Relationship Id="rId22" Type="http://schemas.openxmlformats.org/officeDocument/2006/relationships/hyperlink" Target="https://nche.ed.gov/data/" TargetMode="External"/></Relationships>
</file>

<file path=word/_rels/end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nche.ed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478B71-A345-4DFD-B041-3D21BFDE6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2</Pages>
  <Words>1248</Words>
  <Characters>7116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Department of Education</Company>
  <LinksUpToDate>false</LinksUpToDate>
  <CharactersWithSpaces>8348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Marjorie C Dukes</dc:creator>
  <cp:lastModifiedBy>Marjorie C Dukes</cp:lastModifiedBy>
  <cp:revision>31</cp:revision>
  <dcterms:created xsi:type="dcterms:W3CDTF">2018-12-12T20:56:00Z</dcterms:created>
  <dcterms:modified xsi:type="dcterms:W3CDTF">2018-12-18T20:08:00Z</dcterms:modified>
</cp:coreProperties>
</file>